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2563EB"/>
          <w:sz w:val="18"/>
        </w:rPr>
        <w:t>FIANAIS PRACTITIONER TOOL</w:t>
      </w:r>
    </w:p>
    <w:p>
      <w:pPr>
        <w:spacing w:after="80"/>
      </w:pPr>
      <w:r>
        <w:rPr>
          <w:rFonts w:ascii="Calibri" w:hAnsi="Calibri"/>
          <w:b/>
          <w:color w:val="0F172A"/>
          <w:sz w:val="44"/>
        </w:rPr>
        <w:t>Subject Teacher Evidence Form</w:t>
      </w:r>
    </w:p>
    <w:p>
      <w:pPr>
        <w:spacing w:after="200"/>
      </w:pPr>
      <w:r>
        <w:rPr>
          <w:rFonts w:ascii="Calibri" w:hAnsi="Calibri"/>
          <w:b w:val="0"/>
          <w:color w:val="475569"/>
          <w:sz w:val="22"/>
        </w:rPr>
        <w:t>Gather clear, subject-specific evidence before an assessment arrangement is agreed.</w:t>
      </w:r>
    </w:p>
    <w:p>
      <w:pPr>
        <w:spacing w:after="200"/>
        <w:ind w:left="202" w:right="202"/>
        <w:shd w:fill="EFF6FF"/>
      </w:pPr>
      <w:r>
        <w:rPr>
          <w:rFonts w:ascii="Calibri" w:hAnsi="Calibri"/>
          <w:b/>
          <w:color w:val="1E40AF"/>
          <w:sz w:val="20"/>
        </w:rPr>
        <w:t>Assessment arrangements should reflect the barrier in this subject and the support the learner normally uses. Different subjects may require different arrangements or amounts.</w:t>
      </w:r>
    </w:p>
    <w:p>
      <w:pPr>
        <w:pStyle w:val="Heading1"/>
      </w:pPr>
      <w:r>
        <w:t>Purpose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Use this form to gather subject-specific evidence before an assessment arrangement is agreed.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Keep the evidence factual, current and proportionate. Base recommendations on classroom practice, assessment evidence, teacher observations and the learner’s response to support.</w:t>
      </w:r>
    </w:p>
    <w:p>
      <w:pPr>
        <w:pStyle w:val="Heading1"/>
      </w:pPr>
      <w:r>
        <w:t>Learner and subject details</w:t>
      </w:r>
    </w:p>
    <w:tbl>
      <w:tblPr>
        <w:tblStyle w:val="TableGrid"/>
        <w:tblW w:type="dxa" w:w="9403"/>
        <w:tblLayout w:type="fixed"/>
        <w:tblLook w:firstColumn="1" w:firstRow="1" w:lastColumn="0" w:lastRow="0" w:noHBand="0" w:noVBand="1" w:val="04A0"/>
        <w:tblInd w:w="120" w:type="dxa"/>
      </w:tblPr>
      <w:tblGrid>
        <w:gridCol w:w="4702"/>
        <w:gridCol w:w="4701"/>
      </w:tblGrid>
      <w:tr>
        <w:trPr>
          <w:cantSplit/>
        </w:trPr>
        <w:tc>
          <w:tcPr>
            <w:tcW w:type="dxa" w:w="470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Learner name: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  <w:tc>
          <w:tcPr>
            <w:tcW w:type="dxa" w:w="4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Date of birth or learner reference: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</w:tr>
      <w:tr>
        <w:trPr>
          <w:cantSplit/>
        </w:trPr>
        <w:tc>
          <w:tcPr>
            <w:tcW w:type="dxa" w:w="470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Year group: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  <w:tc>
          <w:tcPr>
            <w:tcW w:type="dxa" w:w="4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Subject: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</w:tr>
      <w:tr>
        <w:trPr>
          <w:cantSplit/>
        </w:trPr>
        <w:tc>
          <w:tcPr>
            <w:tcW w:type="dxa" w:w="470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Qualification and level: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  <w:tc>
          <w:tcPr>
            <w:tcW w:type="dxa" w:w="4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Teacher: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</w:tr>
      <w:tr>
        <w:trPr>
          <w:cantSplit/>
        </w:trPr>
        <w:tc>
          <w:tcPr>
            <w:tcW w:type="dxa" w:w="470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Date completed: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  <w:tc>
          <w:tcPr>
            <w:tcW w:type="dxa" w:w="4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School or centre: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</w:tr>
    </w:tbl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SUBJECT DEMANDS AND BARRIERS</w:t>
      </w:r>
    </w:p>
    <w:p>
      <w:pPr>
        <w:pStyle w:val="Heading1"/>
      </w:pPr>
      <w:r>
        <w:t>Main assessment demands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Describe the main demands the learner is expected to manage in this subject. Consider: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reading volume and complexity; extended writing; spelling and written accuracy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processing speed; numerical calculation; remembering and applying procedures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interpreting diagrams, graphs or source material; listening and responding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practical activity; working under timed conditions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Main assessment demands in this subject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Barrier experienced in this subject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Describe the specific difficulty during normal classwork or assessment tasks. Avoid relying on a diagnosis alone: record what the learner finds difficult and how this affects their ability to demonstrate knowledge and skills.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Barrier observed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How the barrier affects performance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NORMAL WAY OF WORKING</w:t>
      </w:r>
    </w:p>
    <w:p>
      <w:pPr>
        <w:pStyle w:val="Heading1"/>
      </w:pPr>
      <w:r>
        <w:t>Support normally provided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Record the support the learner normally uses during learning, classwork or assessment activities. Examples include: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additional time; rest breaks; separate accommodation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digital device; word processing; text-to-speech; reader; scribe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coloured paper or overlays; enlarged text; adapted instructions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prompting or practical assistance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Support normally provided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Frequency of use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How frequently does the learner use this support in this subject?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Every lesson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Most lessons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For particular tasks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During formal assessments only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Occasionally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Currently being trialled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Additional detail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EVIDENCE</w:t>
      </w:r>
    </w:p>
    <w:p>
      <w:pPr>
        <w:pStyle w:val="Heading1"/>
      </w:pPr>
      <w:r>
        <w:t>Evidence from classwork and assessment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Summarise evidence from normal classroom practice. Where possible, refer to specific tasks, dates or assessment activities.</w:t>
      </w:r>
    </w:p>
    <w:tbl>
      <w:tblPr>
        <w:tblStyle w:val="TableGrid"/>
        <w:tblW w:type="dxa" w:w="9403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000"/>
        <w:gridCol w:w="5203"/>
      </w:tblGrid>
      <w:tr>
        <w:trPr>
          <w:tblHeader w:val="true"/>
        </w:trPr>
        <w:tc>
          <w:tcPr>
            <w:tcW w:type="dxa" w:w="22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E40AF"/>
                <w:sz w:val="18"/>
              </w:rPr>
              <w:t>Evidence source</w:t>
            </w:r>
          </w:p>
        </w:tc>
        <w:tc>
          <w:tcPr>
            <w:tcW w:type="dxa" w:w="20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E40AF"/>
                <w:sz w:val="18"/>
              </w:rPr>
              <w:t>Date or period</w:t>
            </w:r>
          </w:p>
        </w:tc>
        <w:tc>
          <w:tcPr>
            <w:tcW w:type="dxa" w:w="5203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E40AF"/>
                <w:sz w:val="18"/>
              </w:rPr>
              <w:t>What the evidence shows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  <w:r>
              <w:rPr>
                <w:rFonts w:ascii="Calibri" w:hAnsi="Calibri"/>
                <w:b/>
                <w:color w:val="0F172A"/>
                <w:sz w:val="18"/>
              </w:rPr>
              <w:t>Classwork</w:t>
            </w:r>
          </w:p>
        </w:tc>
        <w:tc>
          <w:tcPr>
            <w:tcW w:type="dxa" w:w="2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  <w:tc>
          <w:tcPr>
            <w:tcW w:type="dxa" w:w="520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  <w:r>
              <w:rPr>
                <w:rFonts w:ascii="Calibri" w:hAnsi="Calibri"/>
                <w:b/>
                <w:color w:val="0F172A"/>
                <w:sz w:val="18"/>
              </w:rPr>
              <w:t>Timed task</w:t>
            </w:r>
          </w:p>
        </w:tc>
        <w:tc>
          <w:tcPr>
            <w:tcW w:type="dxa" w:w="2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  <w:tc>
          <w:tcPr>
            <w:tcW w:type="dxa" w:w="520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  <w:r>
              <w:rPr>
                <w:rFonts w:ascii="Calibri" w:hAnsi="Calibri"/>
                <w:b/>
                <w:color w:val="0F172A"/>
                <w:sz w:val="18"/>
              </w:rPr>
              <w:t>Practice assessment</w:t>
            </w:r>
          </w:p>
        </w:tc>
        <w:tc>
          <w:tcPr>
            <w:tcW w:type="dxa" w:w="2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  <w:tc>
          <w:tcPr>
            <w:tcW w:type="dxa" w:w="520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  <w:r>
              <w:rPr>
                <w:rFonts w:ascii="Calibri" w:hAnsi="Calibri"/>
                <w:b/>
                <w:color w:val="0F172A"/>
                <w:sz w:val="18"/>
              </w:rPr>
              <w:t>Formal assessment</w:t>
            </w:r>
          </w:p>
        </w:tc>
        <w:tc>
          <w:tcPr>
            <w:tcW w:type="dxa" w:w="2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  <w:tc>
          <w:tcPr>
            <w:tcW w:type="dxa" w:w="520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  <w:r>
              <w:rPr>
                <w:rFonts w:ascii="Calibri" w:hAnsi="Calibri"/>
                <w:b/>
                <w:color w:val="0F172A"/>
                <w:sz w:val="18"/>
              </w:rPr>
              <w:t>Teacher observation</w:t>
            </w:r>
          </w:p>
        </w:tc>
        <w:tc>
          <w:tcPr>
            <w:tcW w:type="dxa" w:w="2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  <w:tc>
          <w:tcPr>
            <w:tcW w:type="dxa" w:w="520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  <w:r>
              <w:rPr>
                <w:rFonts w:ascii="Calibri" w:hAnsi="Calibri"/>
                <w:b/>
                <w:color w:val="0F172A"/>
                <w:sz w:val="18"/>
              </w:rPr>
              <w:t>Other</w:t>
            </w:r>
          </w:p>
        </w:tc>
        <w:tc>
          <w:tcPr>
            <w:tcW w:type="dxa" w:w="2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  <w:tc>
          <w:tcPr>
            <w:tcW w:type="dxa" w:w="520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80"/>
            </w:pPr>
          </w:p>
        </w:tc>
      </w:tr>
    </w:tbl>
    <w:p>
      <w:pPr>
        <w:pStyle w:val="Heading1"/>
      </w:pPr>
      <w:r>
        <w:t>Learner response to the support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Describe whether the support improves access, accuracy, independence or completion; reduces avoidable errors; changes response quality; and remains proportionate to the barrier.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Learner response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PROPOSED ARRANGEMENT</w:t>
      </w:r>
    </w:p>
    <w:p>
      <w:pPr>
        <w:pStyle w:val="Heading1"/>
      </w:pPr>
      <w:r>
        <w:t>Proposed assessment arrangement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Proposed arrangement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Why this arrangement is appropriate in this subject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Proposed amount, where relevant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Complete this section where the arrangement involves a measurable amount, such as additional time or scheduled rest breaks.</w:t>
      </w:r>
    </w:p>
    <w:tbl>
      <w:tblPr>
        <w:tblStyle w:val="TableGrid"/>
        <w:tblW w:type="dxa" w:w="9403"/>
        <w:tblLayout w:type="fixed"/>
        <w:tblLook w:firstColumn="1" w:firstRow="1" w:lastColumn="0" w:lastRow="0" w:noHBand="0" w:noVBand="1" w:val="04A0"/>
        <w:tblInd w:w="120" w:type="dxa"/>
      </w:tblPr>
      <w:tblGrid>
        <w:gridCol w:w="4702"/>
        <w:gridCol w:w="4701"/>
      </w:tblGrid>
      <w:tr>
        <w:trPr>
          <w:cantSplit/>
        </w:trPr>
        <w:tc>
          <w:tcPr>
            <w:tcW w:type="dxa" w:w="470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Amount trialled: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  <w:tc>
          <w:tcPr>
            <w:tcW w:type="dxa" w:w="4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Context in which it was trialled: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</w:tr>
      <w:tr>
        <w:trPr>
          <w:cantSplit/>
        </w:trPr>
        <w:tc>
          <w:tcPr>
            <w:tcW w:type="dxa" w:w="470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Outcome of the trial: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  <w:tc>
          <w:tcPr>
            <w:tcW w:type="dxa" w:w="4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Amount proposed: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</w:tr>
    </w:tbl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Why is this the smallest amount that allows the learner to demonstrate attainment without providing an unfair advantage?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RECOMMENDATION AND EVIDENCE</w:t>
      </w:r>
    </w:p>
    <w:p>
      <w:pPr>
        <w:pStyle w:val="Heading1"/>
      </w:pPr>
      <w:r>
        <w:t>Teacher recommendation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Based on the evidence above, select one recommendation.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I recommend that this arrangement is agreed for this subject.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I recommend that the support continues to be trialled.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I recommend that the arrangement or amount is adjusted.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I do not currently recommend an assessment arrangement for this subject.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I recommend further discussion with the ASN lead or assessment arrangements coordinator.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Reason for recommendation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Evidence attached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Marked classwork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Timed task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Practice assessment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Formal assessment evidence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Teacher observation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Learner feedback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Support plan or learner record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Meeting note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Other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Details of attached evidence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pPr>
        <w:spacing w:after="8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REVIEW AND EXAMPLE</w:t>
      </w:r>
    </w:p>
    <w:p>
      <w:pPr>
        <w:pStyle w:val="Heading1"/>
      </w:pPr>
      <w:r>
        <w:t>Sign-off</w:t>
      </w:r>
    </w:p>
    <w:tbl>
      <w:tblPr>
        <w:tblStyle w:val="TableGrid"/>
        <w:tblW w:type="dxa" w:w="9403"/>
        <w:tblLayout w:type="fixed"/>
        <w:tblLook w:firstColumn="1" w:firstRow="1" w:lastColumn="0" w:lastRow="0" w:noHBand="0" w:noVBand="1" w:val="04A0"/>
        <w:tblInd w:w="120" w:type="dxa"/>
      </w:tblPr>
      <w:tblGrid>
        <w:gridCol w:w="4702"/>
        <w:gridCol w:w="4701"/>
      </w:tblGrid>
      <w:tr>
        <w:trPr>
          <w:cantSplit/>
        </w:trPr>
        <w:tc>
          <w:tcPr>
            <w:tcW w:type="dxa" w:w="470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Teacher name: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  <w:tc>
          <w:tcPr>
            <w:tcW w:type="dxa" w:w="4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Teacher signature: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</w:tr>
      <w:tr>
        <w:trPr>
          <w:cantSplit/>
        </w:trPr>
        <w:tc>
          <w:tcPr>
            <w:tcW w:type="dxa" w:w="470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Date: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  <w:tc>
          <w:tcPr>
            <w:tcW w:type="dxa" w:w="4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ASN lead or coordinator review: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</w:tr>
      <w:tr>
        <w:trPr>
          <w:cantSplit/>
        </w:trPr>
        <w:tc>
          <w:tcPr>
            <w:tcW w:type="dxa" w:w="470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Review date: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  <w:tc>
          <w:tcPr>
            <w:tcW w:type="dxa" w:w="4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 xml:space="preserve">Outcome: </w:t>
            </w:r>
            <w:r>
              <w:rPr>
                <w:rFonts w:ascii="Calibri" w:hAnsi="Calibri"/>
                <w:b w:val="0"/>
                <w:color w:val="0F172A"/>
                <w:sz w:val="19"/>
              </w:rPr>
            </w:r>
          </w:p>
        </w:tc>
      </w:tr>
    </w:tbl>
    <w:p>
      <w:pPr>
        <w:pStyle w:val="Heading1"/>
      </w:pPr>
      <w:r>
        <w:t>Example: why subject-specific evidence matters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A learner may not require the same arrangement in every subject.</w:t>
      </w:r>
    </w:p>
    <w:p>
      <w:pPr>
        <w:spacing w:after="160"/>
        <w:ind w:left="202" w:right="202"/>
        <w:shd w:fill="EFF6FF"/>
      </w:pPr>
      <w:r>
        <w:rPr>
          <w:rFonts w:ascii="Calibri" w:hAnsi="Calibri"/>
          <w:b w:val="0"/>
          <w:color w:val="0F172A"/>
          <w:sz w:val="20"/>
        </w:rPr>
        <w:t xml:space="preserve">Claire required </w:t>
      </w:r>
      <w:r>
        <w:rPr>
          <w:rFonts w:ascii="Calibri" w:hAnsi="Calibri"/>
          <w:b/>
          <w:color w:val="0F172A"/>
          <w:sz w:val="20"/>
        </w:rPr>
        <w:t>25% extra time in subjects involving extended writing</w:t>
      </w:r>
      <w:r>
        <w:rPr>
          <w:rFonts w:ascii="Calibri" w:hAnsi="Calibri"/>
          <w:b w:val="0"/>
          <w:color w:val="0F172A"/>
          <w:sz w:val="20"/>
        </w:rPr>
        <w:t xml:space="preserve">, but only </w:t>
      </w:r>
      <w:r>
        <w:rPr>
          <w:rFonts w:ascii="Calibri" w:hAnsi="Calibri"/>
          <w:b/>
          <w:color w:val="0F172A"/>
          <w:sz w:val="20"/>
        </w:rPr>
        <w:t>15% extra time in Mathematics and Chemistry</w:t>
      </w:r>
      <w:r>
        <w:rPr>
          <w:rFonts w:ascii="Calibri" w:hAnsi="Calibri"/>
          <w:b w:val="0"/>
          <w:color w:val="0F172A"/>
          <w:sz w:val="20"/>
        </w:rPr>
        <w:t>.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The decision was based on evidence from: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subject teachers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classroom work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timed tasks and assessments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teacher observations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records of discussions and meetings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This showed that the barrier and the amount of support required varied according to the demands of each subject.</w:t>
      </w:r>
    </w:p>
    <w:p>
      <w:pPr>
        <w:spacing w:before="120" w:after="0"/>
        <w:shd w:fill="F8FAFC"/>
      </w:pPr>
      <w:r>
        <w:rPr>
          <w:rFonts w:ascii="Calibri" w:hAnsi="Calibri"/>
          <w:b/>
          <w:color w:val="1E40AF"/>
          <w:sz w:val="20"/>
        </w:rPr>
        <w:t>Do not assume that one arrangement or one amount should automatically apply across all subjects.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936" w:right="1224" w:bottom="936" w:left="122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475569"/>
        <w:sz w:val="17"/>
      </w:rPr>
      <w:t>Subject Teacher Evidence Form  |  Fianais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475569"/>
        <w:sz w:val="17"/>
      </w:rPr>
      <w:t>FIANAIS  ·  PRACTITIONER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563E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563E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F17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ind w:left="360" w:hanging="216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