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80"/>
      </w:pPr>
      <w:r>
        <w:rPr>
          <w:rFonts w:ascii="Calibri" w:hAnsi="Calibri"/>
          <w:b/>
          <w:color w:val="2563EB"/>
          <w:sz w:val="18"/>
        </w:rPr>
        <w:t>FIANAIS PRACTITIONER TOOL</w:t>
      </w:r>
    </w:p>
    <w:p>
      <w:pPr>
        <w:spacing w:after="80"/>
      </w:pPr>
      <w:r>
        <w:rPr>
          <w:rFonts w:ascii="Calibri" w:hAnsi="Calibri"/>
          <w:b/>
          <w:color w:val="0F172A"/>
          <w:sz w:val="44"/>
        </w:rPr>
        <w:t>Assessment Arrangement Trial Record</w:t>
      </w:r>
    </w:p>
    <w:p>
      <w:pPr>
        <w:spacing w:after="200"/>
      </w:pPr>
      <w:r>
        <w:rPr>
          <w:rFonts w:ascii="Calibri" w:hAnsi="Calibri"/>
          <w:b w:val="0"/>
          <w:color w:val="475569"/>
          <w:sz w:val="22"/>
        </w:rPr>
        <w:t>Plan and review a structured trial before an arrangement becomes established practice.</w:t>
      </w:r>
    </w:p>
    <w:p>
      <w:pPr>
        <w:spacing w:after="200"/>
        <w:ind w:left="202" w:right="202"/>
        <w:shd w:fill="EFF6FF"/>
      </w:pPr>
      <w:r>
        <w:rPr>
          <w:rFonts w:ascii="Calibri" w:hAnsi="Calibri"/>
          <w:b/>
          <w:color w:val="1E40AF"/>
          <w:sz w:val="20"/>
        </w:rPr>
        <w:t>Begin with the barrier, agree what success will look like and gather evidence from normal classroom practice.</w:t>
      </w:r>
    </w:p>
    <w:p>
      <w:pPr>
        <w:pStyle w:val="Heading1"/>
      </w:pPr>
      <w:r>
        <w:t>Purpose</w:t>
      </w:r>
    </w:p>
    <w:p>
      <w:pPr>
        <w:keepNext w:val="0"/>
        <w:spacing w:after="100"/>
      </w:pPr>
      <w:r>
        <w:rPr>
          <w:rFonts w:ascii="Calibri" w:hAnsi="Calibri"/>
          <w:b w:val="0"/>
          <w:color w:val="0F172A"/>
          <w:sz w:val="21"/>
        </w:rPr>
        <w:t>Use this record to plan and review a structured trial before an assessment arrangement becomes established practice.</w:t>
      </w:r>
    </w:p>
    <w:p>
      <w:pPr>
        <w:keepNext w:val="0"/>
        <w:spacing w:after="100"/>
      </w:pPr>
      <w:r>
        <w:rPr>
          <w:rFonts w:ascii="Calibri" w:hAnsi="Calibri"/>
          <w:b w:val="0"/>
          <w:color w:val="0F172A"/>
          <w:sz w:val="21"/>
        </w:rPr>
        <w:t>Test whether the arrangement improves access, independence or the learner's ability to demonstrate knowledge and skills without changing what is being assessed.</w:t>
      </w:r>
    </w:p>
    <w:p>
      <w:pPr>
        <w:keepNext w:val="0"/>
        <w:spacing w:after="100"/>
      </w:pPr>
      <w:r>
        <w:rPr>
          <w:rFonts w:ascii="Calibri" w:hAnsi="Calibri"/>
          <w:b/>
          <w:color w:val="2563EB"/>
          <w:sz w:val="21"/>
        </w:rPr>
        <w:t>Companion resource: Choosing the Right Assessment Arrangement guide in the Fianais Knowledge Hub.</w:t>
      </w:r>
    </w:p>
    <w:p>
      <w:pPr>
        <w:pStyle w:val="Heading1"/>
      </w:pPr>
      <w:r>
        <w:t>Learner and trial details</w:t>
      </w:r>
    </w:p>
    <w:tbl>
      <w:tblPr>
        <w:tblStyle w:val="TableGrid"/>
        <w:tblW w:type="dxa" w:w="9400"/>
        <w:tblLayout w:type="fixed"/>
        <w:tblLook w:firstColumn="1" w:firstRow="1" w:lastColumn="0" w:lastRow="0" w:noHBand="0" w:noVBand="1" w:val="04A0"/>
        <w:tblInd w:w="120" w:type="dxa"/>
      </w:tblPr>
      <w:tblGrid>
        <w:gridCol w:w="4700"/>
        <w:gridCol w:w="4700"/>
      </w:tblGrid>
      <w:tr>
        <w:trPr>
          <w:cantSplit/>
        </w:trPr>
        <w:tc>
          <w:tcPr>
            <w:tcW w:type="dxa" w:w="470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220"/>
            </w:pPr>
            <w:r>
              <w:rPr>
                <w:rFonts w:ascii="Calibri" w:hAnsi="Calibri"/>
                <w:b/>
                <w:color w:val="0F172A"/>
                <w:sz w:val="19"/>
              </w:rPr>
              <w:t>Learner name or reference:</w:t>
            </w:r>
          </w:p>
        </w:tc>
        <w:tc>
          <w:tcPr>
            <w:tcW w:type="dxa" w:w="470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220"/>
            </w:pPr>
            <w:r>
              <w:rPr>
                <w:rFonts w:ascii="Calibri" w:hAnsi="Calibri"/>
                <w:b/>
                <w:color w:val="0F172A"/>
                <w:sz w:val="19"/>
              </w:rPr>
              <w:t>Year group:</w:t>
            </w:r>
          </w:p>
        </w:tc>
      </w:tr>
      <w:tr>
        <w:trPr>
          <w:cantSplit/>
        </w:trPr>
        <w:tc>
          <w:tcPr>
            <w:tcW w:type="dxa" w:w="470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220"/>
            </w:pPr>
            <w:r>
              <w:rPr>
                <w:rFonts w:ascii="Calibri" w:hAnsi="Calibri"/>
                <w:b/>
                <w:color w:val="0F172A"/>
                <w:sz w:val="19"/>
              </w:rPr>
              <w:t>Teacher or trial lead:</w:t>
            </w:r>
          </w:p>
        </w:tc>
        <w:tc>
          <w:tcPr>
            <w:tcW w:type="dxa" w:w="470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220"/>
            </w:pPr>
            <w:r>
              <w:rPr>
                <w:rFonts w:ascii="Calibri" w:hAnsi="Calibri"/>
                <w:b/>
                <w:color w:val="0F172A"/>
                <w:sz w:val="19"/>
              </w:rPr>
              <w:t>Date completed:</w:t>
            </w:r>
          </w:p>
        </w:tc>
      </w:tr>
      <w:tr>
        <w:trPr>
          <w:cantSplit/>
        </w:trPr>
        <w:tc>
          <w:tcPr>
            <w:tcW w:type="dxa" w:w="470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220"/>
            </w:pPr>
            <w:r>
              <w:rPr>
                <w:rFonts w:ascii="Calibri" w:hAnsi="Calibri"/>
                <w:b/>
                <w:color w:val="0F172A"/>
                <w:sz w:val="19"/>
              </w:rPr>
              <w:t>Trial start date:</w:t>
            </w:r>
          </w:p>
        </w:tc>
        <w:tc>
          <w:tcPr>
            <w:tcW w:type="dxa" w:w="470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220"/>
            </w:pPr>
            <w:r>
              <w:rPr>
                <w:rFonts w:ascii="Calibri" w:hAnsi="Calibri"/>
                <w:b/>
                <w:color w:val="0F172A"/>
                <w:sz w:val="19"/>
              </w:rPr>
              <w:t>Planned review date:</w:t>
            </w:r>
          </w:p>
        </w:tc>
      </w:tr>
      <w:tr>
        <w:trPr>
          <w:cantSplit/>
        </w:trPr>
        <w:tc>
          <w:tcPr>
            <w:tcW w:type="dxa" w:w="470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220"/>
            </w:pPr>
            <w:r>
              <w:rPr>
                <w:rFonts w:ascii="Calibri" w:hAnsi="Calibri"/>
                <w:b/>
                <w:color w:val="0F172A"/>
                <w:sz w:val="19"/>
              </w:rPr>
              <w:t>Actual review date:</w:t>
            </w:r>
          </w:p>
        </w:tc>
        <w:tc>
          <w:tcPr>
            <w:tcW w:type="dxa" w:w="470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220"/>
            </w:pPr>
            <w:r>
              <w:rPr>
                <w:rFonts w:ascii="Calibri" w:hAnsi="Calibri"/>
                <w:b/>
                <w:color w:val="0F172A"/>
                <w:sz w:val="19"/>
              </w:rPr>
              <w:t>Trial frequency:</w:t>
            </w:r>
          </w:p>
        </w:tc>
      </w:tr>
    </w:tbl>
    <w:p>
      <w:r>
        <w:br w:type="page"/>
      </w:r>
    </w:p>
    <w:p>
      <w:pPr>
        <w:spacing w:after="80"/>
      </w:pPr>
      <w:r>
        <w:rPr>
          <w:rFonts w:ascii="Calibri" w:hAnsi="Calibri"/>
          <w:b/>
          <w:color w:val="2563EB"/>
          <w:sz w:val="18"/>
        </w:rPr>
        <w:t>BARRIER AND ARRANGEMENT</w:t>
      </w:r>
    </w:p>
    <w:p>
      <w:pPr>
        <w:pStyle w:val="Heading1"/>
      </w:pPr>
      <w:r>
        <w:t>Barrier being addressed</w:t>
      </w:r>
    </w:p>
    <w:p>
      <w:pPr>
        <w:keepNext w:val="0"/>
        <w:spacing w:after="100"/>
      </w:pPr>
      <w:r>
        <w:rPr>
          <w:rFonts w:ascii="Calibri" w:hAnsi="Calibri"/>
          <w:b w:val="0"/>
          <w:color w:val="0F172A"/>
          <w:sz w:val="21"/>
        </w:rPr>
        <w:t>Describe the specific barrier during classwork or assessment. Record what the learner finds difficult and how this affects access, participation or attainment. Avoid relying on diagnosis alone.</w:t>
      </w:r>
    </w:p>
    <w:p>
      <w:pPr>
        <w:keepNext/>
        <w:spacing w:before="120" w:after="40"/>
      </w:pPr>
      <w:r>
        <w:rPr>
          <w:rFonts w:ascii="Calibri" w:hAnsi="Calibri"/>
          <w:b/>
          <w:color w:val="0F172A"/>
          <w:sz w:val="20"/>
        </w:rPr>
        <w:t>Barrier observed</w:t>
      </w:r>
    </w:p>
    <w:p>
      <w:pPr>
        <w:spacing w:after="100"/>
        <w:pBdr>
          <w:bottom w:val="single" w:sz="6" w:space="1" w:color="CBD5E1"/>
        </w:pBdr>
      </w:pPr>
      <w:r>
        <w:t xml:space="preserve"> </w:t>
      </w:r>
    </w:p>
    <w:p>
      <w:pPr>
        <w:spacing w:after="100"/>
        <w:pBdr>
          <w:bottom w:val="single" w:sz="6" w:space="1" w:color="CBD5E1"/>
        </w:pBdr>
      </w:pPr>
      <w:r>
        <w:t xml:space="preserve"> </w:t>
      </w:r>
    </w:p>
    <w:p>
      <w:pPr>
        <w:spacing w:after="100"/>
        <w:pBdr>
          <w:bottom w:val="single" w:sz="6" w:space="1" w:color="CBD5E1"/>
        </w:pBdr>
      </w:pPr>
      <w:r>
        <w:t xml:space="preserve"> </w:t>
      </w:r>
    </w:p>
    <w:p>
      <w:pPr>
        <w:keepNext/>
        <w:spacing w:before="120" w:after="40"/>
      </w:pPr>
      <w:r>
        <w:rPr>
          <w:rFonts w:ascii="Calibri" w:hAnsi="Calibri"/>
          <w:b/>
          <w:color w:val="0F172A"/>
          <w:sz w:val="20"/>
        </w:rPr>
        <w:t>How the barrier affects the learner</w:t>
      </w:r>
    </w:p>
    <w:p>
      <w:pPr>
        <w:spacing w:after="100"/>
        <w:pBdr>
          <w:bottom w:val="single" w:sz="6" w:space="1" w:color="CBD5E1"/>
        </w:pBdr>
      </w:pPr>
      <w:r>
        <w:t xml:space="preserve"> </w:t>
      </w:r>
    </w:p>
    <w:p>
      <w:pPr>
        <w:spacing w:after="100"/>
        <w:pBdr>
          <w:bottom w:val="single" w:sz="6" w:space="1" w:color="CBD5E1"/>
        </w:pBdr>
      </w:pPr>
      <w:r>
        <w:t xml:space="preserve"> </w:t>
      </w:r>
    </w:p>
    <w:p>
      <w:pPr>
        <w:spacing w:after="100"/>
        <w:pBdr>
          <w:bottom w:val="single" w:sz="6" w:space="1" w:color="CBD5E1"/>
        </w:pBdr>
      </w:pPr>
      <w:r>
        <w:t xml:space="preserve"> </w:t>
      </w:r>
    </w:p>
    <w:p>
      <w:pPr>
        <w:pStyle w:val="Heading1"/>
      </w:pPr>
      <w:r>
        <w:t>Arrangement being trialled</w:t>
      </w:r>
    </w:p>
    <w:p>
      <w:pPr>
        <w:keepNext/>
        <w:spacing w:before="120" w:after="40"/>
      </w:pPr>
      <w:r>
        <w:rPr>
          <w:rFonts w:ascii="Calibri" w:hAnsi="Calibri"/>
          <w:b/>
          <w:color w:val="0F172A"/>
          <w:sz w:val="20"/>
        </w:rPr>
        <w:t>Arrangement</w:t>
      </w:r>
    </w:p>
    <w:p>
      <w:pPr>
        <w:spacing w:after="100"/>
        <w:pBdr>
          <w:bottom w:val="single" w:sz="6" w:space="1" w:color="CBD5E1"/>
        </w:pBdr>
      </w:pPr>
      <w:r>
        <w:t xml:space="preserve"> </w:t>
      </w:r>
    </w:p>
    <w:p>
      <w:pPr>
        <w:spacing w:after="100"/>
        <w:pBdr>
          <w:bottom w:val="single" w:sz="6" w:space="1" w:color="CBD5E1"/>
        </w:pBdr>
      </w:pPr>
      <w:r>
        <w:t xml:space="preserve"> </w:t>
      </w:r>
    </w:p>
    <w:p>
      <w:pPr>
        <w:keepNext/>
        <w:spacing w:before="120" w:after="40"/>
      </w:pPr>
      <w:r>
        <w:rPr>
          <w:rFonts w:ascii="Calibri" w:hAnsi="Calibri"/>
          <w:b/>
          <w:color w:val="0F172A"/>
          <w:sz w:val="20"/>
        </w:rPr>
        <w:t>How the arrangement will be provided</w:t>
      </w:r>
    </w:p>
    <w:p>
      <w:pPr>
        <w:spacing w:after="100"/>
        <w:pBdr>
          <w:bottom w:val="single" w:sz="6" w:space="1" w:color="CBD5E1"/>
        </w:pBdr>
      </w:pPr>
      <w:r>
        <w:t xml:space="preserve"> </w:t>
      </w:r>
    </w:p>
    <w:p>
      <w:pPr>
        <w:spacing w:after="100"/>
        <w:pBdr>
          <w:bottom w:val="single" w:sz="6" w:space="1" w:color="CBD5E1"/>
        </w:pBdr>
      </w:pPr>
      <w:r>
        <w:t xml:space="preserve"> </w:t>
      </w:r>
    </w:p>
    <w:p>
      <w:pPr>
        <w:keepNext/>
        <w:spacing w:before="120" w:after="40"/>
      </w:pPr>
      <w:r>
        <w:rPr>
          <w:rFonts w:ascii="Calibri" w:hAnsi="Calibri"/>
          <w:b/>
          <w:color w:val="0F172A"/>
          <w:sz w:val="20"/>
        </w:rPr>
        <w:t>Why this arrangement may address the barrier</w:t>
      </w:r>
    </w:p>
    <w:p>
      <w:pPr>
        <w:spacing w:after="100"/>
        <w:pBdr>
          <w:bottom w:val="single" w:sz="6" w:space="1" w:color="CBD5E1"/>
        </w:pBdr>
      </w:pPr>
      <w:r>
        <w:t xml:space="preserve"> </w:t>
      </w:r>
    </w:p>
    <w:p>
      <w:pPr>
        <w:spacing w:after="100"/>
        <w:pBdr>
          <w:bottom w:val="single" w:sz="6" w:space="1" w:color="CBD5E1"/>
        </w:pBdr>
      </w:pPr>
      <w:r>
        <w:t xml:space="preserve"> </w:t>
      </w:r>
    </w:p>
    <w:p>
      <w:pPr>
        <w:spacing w:after="100"/>
        <w:pBdr>
          <w:bottom w:val="single" w:sz="6" w:space="1" w:color="CBD5E1"/>
        </w:pBdr>
      </w:pPr>
      <w:r>
        <w:t xml:space="preserve"> </w:t>
      </w:r>
    </w:p>
    <w:p>
      <w:r>
        <w:br w:type="page"/>
      </w:r>
    </w:p>
    <w:p>
      <w:pPr>
        <w:spacing w:after="80"/>
      </w:pPr>
      <w:r>
        <w:rPr>
          <w:rFonts w:ascii="Calibri" w:hAnsi="Calibri"/>
          <w:b/>
          <w:color w:val="2563EB"/>
          <w:sz w:val="18"/>
        </w:rPr>
        <w:t>CONTEXTS AND SUCCESS</w:t>
      </w:r>
    </w:p>
    <w:p>
      <w:pPr>
        <w:pStyle w:val="Heading1"/>
      </w:pPr>
      <w:r>
        <w:t>Subjects or contexts</w:t>
      </w:r>
    </w:p>
    <w:p>
      <w:pPr>
        <w:keepNext w:val="0"/>
        <w:spacing w:after="100"/>
      </w:pPr>
      <w:r>
        <w:rPr>
          <w:rFonts w:ascii="Calibri" w:hAnsi="Calibri"/>
          <w:b w:val="0"/>
          <w:color w:val="0F172A"/>
          <w:sz w:val="21"/>
        </w:rPr>
        <w:t>Identify the subjects, task types, classroom activities or assessment contexts included in the trial.</w:t>
      </w:r>
    </w:p>
    <w:tbl>
      <w:tblPr>
        <w:tblStyle w:val="TableGrid"/>
        <w:tblW w:type="dxa" w:w="9400"/>
        <w:tblLayout w:type="fixed"/>
        <w:tblLook w:firstColumn="1" w:firstRow="1" w:lastColumn="0" w:lastRow="0" w:noHBand="0" w:noVBand="1" w:val="04A0"/>
        <w:tblInd w:w="120" w:type="dxa"/>
      </w:tblPr>
      <w:tblGrid>
        <w:gridCol w:w="3000"/>
        <w:gridCol w:w="3400"/>
        <w:gridCol w:w="3000"/>
      </w:tblGrid>
      <w:tr>
        <w:trPr>
          <w:tblHeader w:val="true"/>
        </w:trPr>
        <w:tc>
          <w:tcPr>
            <w:tcW w:type="dxa" w:w="3000"/>
            <w:shd w:fill="EFF6FF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/>
              <w:jc w:val="center"/>
            </w:pPr>
            <w:r>
              <w:rPr>
                <w:rFonts w:ascii="Calibri" w:hAnsi="Calibri"/>
                <w:b/>
                <w:color w:val="2563EB"/>
                <w:sz w:val="18"/>
              </w:rPr>
              <w:t>Subject or context</w:t>
            </w:r>
          </w:p>
        </w:tc>
        <w:tc>
          <w:tcPr>
            <w:tcW w:type="dxa" w:w="3400"/>
            <w:shd w:fill="EFF6FF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/>
              <w:jc w:val="center"/>
            </w:pPr>
            <w:r>
              <w:rPr>
                <w:rFonts w:ascii="Calibri" w:hAnsi="Calibri"/>
                <w:b/>
                <w:color w:val="2563EB"/>
                <w:sz w:val="18"/>
              </w:rPr>
              <w:t>Task or activity</w:t>
            </w:r>
          </w:p>
        </w:tc>
        <w:tc>
          <w:tcPr>
            <w:tcW w:type="dxa" w:w="3000"/>
            <w:shd w:fill="EFF6FF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/>
              <w:jc w:val="center"/>
            </w:pPr>
            <w:r>
              <w:rPr>
                <w:rFonts w:ascii="Calibri" w:hAnsi="Calibri"/>
                <w:b/>
                <w:color w:val="2563EB"/>
                <w:sz w:val="18"/>
              </w:rPr>
              <w:t>Person gathering evidence</w:t>
            </w:r>
          </w:p>
        </w:tc>
      </w:tr>
      <w:tr>
        <w:trPr>
          <w:cantSplit/>
        </w:trPr>
        <w:tc>
          <w:tcPr>
            <w:tcW w:type="dxa" w:w="300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360"/>
            </w:pPr>
          </w:p>
        </w:tc>
        <w:tc>
          <w:tcPr>
            <w:tcW w:type="dxa" w:w="340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360"/>
            </w:pPr>
          </w:p>
        </w:tc>
        <w:tc>
          <w:tcPr>
            <w:tcW w:type="dxa" w:w="300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360"/>
            </w:pPr>
          </w:p>
        </w:tc>
      </w:tr>
      <w:tr>
        <w:trPr>
          <w:cantSplit/>
        </w:trPr>
        <w:tc>
          <w:tcPr>
            <w:tcW w:type="dxa" w:w="300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360"/>
            </w:pPr>
          </w:p>
        </w:tc>
        <w:tc>
          <w:tcPr>
            <w:tcW w:type="dxa" w:w="340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360"/>
            </w:pPr>
          </w:p>
        </w:tc>
        <w:tc>
          <w:tcPr>
            <w:tcW w:type="dxa" w:w="300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360"/>
            </w:pPr>
          </w:p>
        </w:tc>
      </w:tr>
      <w:tr>
        <w:trPr>
          <w:cantSplit/>
        </w:trPr>
        <w:tc>
          <w:tcPr>
            <w:tcW w:type="dxa" w:w="300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360"/>
            </w:pPr>
          </w:p>
        </w:tc>
        <w:tc>
          <w:tcPr>
            <w:tcW w:type="dxa" w:w="340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360"/>
            </w:pPr>
          </w:p>
        </w:tc>
        <w:tc>
          <w:tcPr>
            <w:tcW w:type="dxa" w:w="300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360"/>
            </w:pPr>
          </w:p>
        </w:tc>
      </w:tr>
      <w:tr>
        <w:trPr>
          <w:cantSplit/>
        </w:trPr>
        <w:tc>
          <w:tcPr>
            <w:tcW w:type="dxa" w:w="300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360"/>
            </w:pPr>
          </w:p>
        </w:tc>
        <w:tc>
          <w:tcPr>
            <w:tcW w:type="dxa" w:w="340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360"/>
            </w:pPr>
          </w:p>
        </w:tc>
        <w:tc>
          <w:tcPr>
            <w:tcW w:type="dxa" w:w="300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360"/>
            </w:pPr>
          </w:p>
        </w:tc>
      </w:tr>
    </w:tbl>
    <w:p>
      <w:pPr>
        <w:pStyle w:val="Heading1"/>
      </w:pPr>
      <w:r>
        <w:t>What success will look like</w:t>
      </w:r>
    </w:p>
    <w:p>
      <w:pPr>
        <w:keepNext/>
        <w:spacing w:after="100"/>
      </w:pPr>
      <w:r>
        <w:rPr>
          <w:rFonts w:ascii="Calibri" w:hAnsi="Calibri"/>
          <w:b w:val="0"/>
          <w:color w:val="0F172A"/>
          <w:sz w:val="21"/>
        </w:rPr>
        <w:t>Agree clear indicators before the trial begins. Success may include:</w:t>
      </w:r>
    </w:p>
    <w:p>
      <w:pPr>
        <w:pStyle w:val="ListBullet"/>
        <w:spacing w:after="40"/>
      </w:pPr>
      <w:r>
        <w:rPr>
          <w:rFonts w:ascii="Calibri" w:hAnsi="Calibri"/>
          <w:b w:val="0"/>
          <w:color w:val="0F172A"/>
          <w:sz w:val="20"/>
        </w:rPr>
        <w:t>improved access or more accurate demonstration of knowledge and skills</w:t>
      </w:r>
    </w:p>
    <w:p>
      <w:pPr>
        <w:pStyle w:val="ListBullet"/>
        <w:spacing w:after="40"/>
      </w:pPr>
      <w:r>
        <w:rPr>
          <w:rFonts w:ascii="Calibri" w:hAnsi="Calibri"/>
          <w:b w:val="0"/>
          <w:color w:val="0F172A"/>
          <w:sz w:val="20"/>
        </w:rPr>
        <w:t>greater independence, fewer avoidable errors or improved completion</w:t>
      </w:r>
    </w:p>
    <w:p>
      <w:pPr>
        <w:pStyle w:val="ListBullet"/>
        <w:spacing w:after="40"/>
      </w:pPr>
      <w:r>
        <w:rPr>
          <w:rFonts w:ascii="Calibri" w:hAnsi="Calibri"/>
          <w:b w:val="0"/>
          <w:color w:val="0F172A"/>
          <w:sz w:val="20"/>
        </w:rPr>
        <w:t>reduced fatigue, distress or loss of concentration</w:t>
      </w:r>
    </w:p>
    <w:p>
      <w:pPr>
        <w:pStyle w:val="ListBullet"/>
        <w:spacing w:after="40"/>
      </w:pPr>
      <w:r>
        <w:rPr>
          <w:rFonts w:ascii="Calibri" w:hAnsi="Calibri"/>
          <w:b w:val="0"/>
          <w:color w:val="0F172A"/>
          <w:sz w:val="20"/>
        </w:rPr>
        <w:t>support that remains proportionate to the barrier</w:t>
      </w:r>
    </w:p>
    <w:p>
      <w:pPr>
        <w:keepNext/>
        <w:spacing w:before="120" w:after="40"/>
      </w:pPr>
      <w:r>
        <w:rPr>
          <w:rFonts w:ascii="Calibri" w:hAnsi="Calibri"/>
          <w:b/>
          <w:color w:val="0F172A"/>
          <w:sz w:val="20"/>
        </w:rPr>
        <w:t>Success indicators for this trial</w:t>
      </w:r>
    </w:p>
    <w:p>
      <w:pPr>
        <w:spacing w:after="100"/>
        <w:pBdr>
          <w:bottom w:val="single" w:sz="6" w:space="1" w:color="CBD5E1"/>
        </w:pBdr>
      </w:pPr>
      <w:r>
        <w:t xml:space="preserve"> </w:t>
      </w:r>
    </w:p>
    <w:p>
      <w:pPr>
        <w:spacing w:after="100"/>
        <w:pBdr>
          <w:bottom w:val="single" w:sz="6" w:space="1" w:color="CBD5E1"/>
        </w:pBdr>
      </w:pPr>
      <w:r>
        <w:t xml:space="preserve"> </w:t>
      </w:r>
    </w:p>
    <w:p>
      <w:pPr>
        <w:spacing w:after="100"/>
        <w:pBdr>
          <w:bottom w:val="single" w:sz="6" w:space="1" w:color="CBD5E1"/>
        </w:pBdr>
      </w:pPr>
      <w:r>
        <w:t xml:space="preserve"> </w:t>
      </w:r>
    </w:p>
    <w:p>
      <w:pPr>
        <w:spacing w:after="100"/>
        <w:pBdr>
          <w:bottom w:val="single" w:sz="6" w:space="1" w:color="CBD5E1"/>
        </w:pBdr>
      </w:pPr>
      <w:r>
        <w:t xml:space="preserve"> </w:t>
      </w:r>
    </w:p>
    <w:p>
      <w:r>
        <w:br w:type="page"/>
      </w:r>
    </w:p>
    <w:p>
      <w:pPr>
        <w:spacing w:after="80"/>
      </w:pPr>
      <w:r>
        <w:rPr>
          <w:rFonts w:ascii="Calibri" w:hAnsi="Calibri"/>
          <w:b/>
          <w:color w:val="2563EB"/>
          <w:sz w:val="18"/>
        </w:rPr>
        <w:t>EVIDENCE FROM THE TRIAL</w:t>
      </w:r>
    </w:p>
    <w:p>
      <w:pPr>
        <w:pStyle w:val="Heading1"/>
      </w:pPr>
      <w:r>
        <w:t>Teacher observations</w:t>
      </w:r>
    </w:p>
    <w:p>
      <w:pPr>
        <w:keepNext w:val="0"/>
        <w:spacing w:after="100"/>
      </w:pPr>
      <w:r>
        <w:rPr>
          <w:rFonts w:ascii="Calibri" w:hAnsi="Calibri"/>
          <w:b w:val="0"/>
          <w:color w:val="0F172A"/>
          <w:sz w:val="21"/>
        </w:rPr>
        <w:t>Keep observations factual and refer to specific tasks or dates where possible.</w:t>
      </w:r>
    </w:p>
    <w:tbl>
      <w:tblPr>
        <w:tblStyle w:val="TableGrid"/>
        <w:tblW w:type="dxa" w:w="9400"/>
        <w:tblLayout w:type="fixed"/>
        <w:tblLook w:firstColumn="1" w:firstRow="1" w:lastColumn="0" w:lastRow="0" w:noHBand="0" w:noVBand="1" w:val="04A0"/>
        <w:tblInd w:w="120" w:type="dxa"/>
      </w:tblPr>
      <w:tblGrid>
        <w:gridCol w:w="1300"/>
        <w:gridCol w:w="2200"/>
        <w:gridCol w:w="3200"/>
        <w:gridCol w:w="2700"/>
      </w:tblGrid>
      <w:tr>
        <w:trPr>
          <w:tblHeader w:val="true"/>
        </w:trPr>
        <w:tc>
          <w:tcPr>
            <w:tcW w:type="dxa" w:w="1300"/>
            <w:shd w:fill="EFF6FF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/>
              <w:jc w:val="center"/>
            </w:pPr>
            <w:r>
              <w:rPr>
                <w:rFonts w:ascii="Calibri" w:hAnsi="Calibri"/>
                <w:b/>
                <w:color w:val="2563EB"/>
                <w:sz w:val="18"/>
              </w:rPr>
              <w:t>Date</w:t>
            </w:r>
          </w:p>
        </w:tc>
        <w:tc>
          <w:tcPr>
            <w:tcW w:type="dxa" w:w="2200"/>
            <w:shd w:fill="EFF6FF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/>
              <w:jc w:val="center"/>
            </w:pPr>
            <w:r>
              <w:rPr>
                <w:rFonts w:ascii="Calibri" w:hAnsi="Calibri"/>
                <w:b/>
                <w:color w:val="2563EB"/>
                <w:sz w:val="18"/>
              </w:rPr>
              <w:t>Subject or context</w:t>
            </w:r>
          </w:p>
        </w:tc>
        <w:tc>
          <w:tcPr>
            <w:tcW w:type="dxa" w:w="3200"/>
            <w:shd w:fill="EFF6FF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/>
              <w:jc w:val="center"/>
            </w:pPr>
            <w:r>
              <w:rPr>
                <w:rFonts w:ascii="Calibri" w:hAnsi="Calibri"/>
                <w:b/>
                <w:color w:val="2563EB"/>
                <w:sz w:val="18"/>
              </w:rPr>
              <w:t>What was observed</w:t>
            </w:r>
          </w:p>
        </w:tc>
        <w:tc>
          <w:tcPr>
            <w:tcW w:type="dxa" w:w="2700"/>
            <w:shd w:fill="EFF6FF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/>
              <w:jc w:val="center"/>
            </w:pPr>
            <w:r>
              <w:rPr>
                <w:rFonts w:ascii="Calibri" w:hAnsi="Calibri"/>
                <w:b/>
                <w:color w:val="2563EB"/>
                <w:sz w:val="18"/>
              </w:rPr>
              <w:t>Learner response</w:t>
            </w:r>
          </w:p>
        </w:tc>
      </w:tr>
      <w:tr>
        <w:trPr>
          <w:cantSplit/>
        </w:trPr>
        <w:tc>
          <w:tcPr>
            <w:tcW w:type="dxa" w:w="130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360"/>
            </w:pPr>
          </w:p>
        </w:tc>
        <w:tc>
          <w:tcPr>
            <w:tcW w:type="dxa" w:w="220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360"/>
            </w:pPr>
          </w:p>
        </w:tc>
        <w:tc>
          <w:tcPr>
            <w:tcW w:type="dxa" w:w="320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360"/>
            </w:pPr>
          </w:p>
        </w:tc>
        <w:tc>
          <w:tcPr>
            <w:tcW w:type="dxa" w:w="270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360"/>
            </w:pPr>
          </w:p>
        </w:tc>
      </w:tr>
      <w:tr>
        <w:trPr>
          <w:cantSplit/>
        </w:trPr>
        <w:tc>
          <w:tcPr>
            <w:tcW w:type="dxa" w:w="130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360"/>
            </w:pPr>
          </w:p>
        </w:tc>
        <w:tc>
          <w:tcPr>
            <w:tcW w:type="dxa" w:w="220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360"/>
            </w:pPr>
          </w:p>
        </w:tc>
        <w:tc>
          <w:tcPr>
            <w:tcW w:type="dxa" w:w="320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360"/>
            </w:pPr>
          </w:p>
        </w:tc>
        <w:tc>
          <w:tcPr>
            <w:tcW w:type="dxa" w:w="270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360"/>
            </w:pPr>
          </w:p>
        </w:tc>
      </w:tr>
      <w:tr>
        <w:trPr>
          <w:cantSplit/>
        </w:trPr>
        <w:tc>
          <w:tcPr>
            <w:tcW w:type="dxa" w:w="130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360"/>
            </w:pPr>
          </w:p>
        </w:tc>
        <w:tc>
          <w:tcPr>
            <w:tcW w:type="dxa" w:w="220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360"/>
            </w:pPr>
          </w:p>
        </w:tc>
        <w:tc>
          <w:tcPr>
            <w:tcW w:type="dxa" w:w="320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360"/>
            </w:pPr>
          </w:p>
        </w:tc>
        <w:tc>
          <w:tcPr>
            <w:tcW w:type="dxa" w:w="270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360"/>
            </w:pPr>
          </w:p>
        </w:tc>
      </w:tr>
      <w:tr>
        <w:trPr>
          <w:cantSplit/>
        </w:trPr>
        <w:tc>
          <w:tcPr>
            <w:tcW w:type="dxa" w:w="130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360"/>
            </w:pPr>
          </w:p>
        </w:tc>
        <w:tc>
          <w:tcPr>
            <w:tcW w:type="dxa" w:w="220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360"/>
            </w:pPr>
          </w:p>
        </w:tc>
        <w:tc>
          <w:tcPr>
            <w:tcW w:type="dxa" w:w="320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360"/>
            </w:pPr>
          </w:p>
        </w:tc>
        <w:tc>
          <w:tcPr>
            <w:tcW w:type="dxa" w:w="270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360"/>
            </w:pPr>
          </w:p>
        </w:tc>
      </w:tr>
    </w:tbl>
    <w:p>
      <w:pPr>
        <w:keepNext/>
        <w:spacing w:before="120" w:after="40"/>
      </w:pPr>
      <w:r>
        <w:rPr>
          <w:rFonts w:ascii="Calibri" w:hAnsi="Calibri"/>
          <w:b/>
          <w:color w:val="0F172A"/>
          <w:sz w:val="20"/>
        </w:rPr>
        <w:t>Summary of teacher observations</w:t>
      </w:r>
    </w:p>
    <w:p>
      <w:pPr>
        <w:spacing w:after="100"/>
        <w:pBdr>
          <w:bottom w:val="single" w:sz="6" w:space="1" w:color="CBD5E1"/>
        </w:pBdr>
      </w:pPr>
      <w:r>
        <w:t xml:space="preserve"> </w:t>
      </w:r>
    </w:p>
    <w:p>
      <w:pPr>
        <w:spacing w:after="100"/>
        <w:pBdr>
          <w:bottom w:val="single" w:sz="6" w:space="1" w:color="CBD5E1"/>
        </w:pBdr>
      </w:pPr>
      <w:r>
        <w:t xml:space="preserve"> </w:t>
      </w:r>
    </w:p>
    <w:p>
      <w:pPr>
        <w:spacing w:after="100"/>
        <w:pBdr>
          <w:bottom w:val="single" w:sz="6" w:space="1" w:color="CBD5E1"/>
        </w:pBdr>
      </w:pPr>
      <w:r>
        <w:t xml:space="preserve"> </w:t>
      </w:r>
    </w:p>
    <w:p>
      <w:pPr>
        <w:pStyle w:val="Heading1"/>
      </w:pPr>
      <w:r>
        <w:t>Learner feedback</w:t>
      </w:r>
    </w:p>
    <w:p>
      <w:pPr>
        <w:keepNext w:val="0"/>
        <w:spacing w:after="100"/>
      </w:pPr>
      <w:r>
        <w:rPr>
          <w:rFonts w:ascii="Calibri" w:hAnsi="Calibri"/>
          <w:b w:val="0"/>
          <w:color w:val="0F172A"/>
          <w:sz w:val="21"/>
        </w:rPr>
        <w:t>Record whether the arrangement improved access, confidence or independence; what remained difficult; whether the learner would use it again; and what should change.</w:t>
      </w:r>
    </w:p>
    <w:p>
      <w:pPr>
        <w:keepNext/>
        <w:spacing w:before="120" w:after="40"/>
      </w:pPr>
      <w:r>
        <w:rPr>
          <w:rFonts w:ascii="Calibri" w:hAnsi="Calibri"/>
          <w:b/>
          <w:color w:val="0F172A"/>
          <w:sz w:val="20"/>
        </w:rPr>
        <w:t>Learner feedback</w:t>
      </w:r>
    </w:p>
    <w:p>
      <w:pPr>
        <w:spacing w:after="100"/>
        <w:pBdr>
          <w:bottom w:val="single" w:sz="6" w:space="1" w:color="CBD5E1"/>
        </w:pBdr>
      </w:pPr>
      <w:r>
        <w:t xml:space="preserve"> </w:t>
      </w:r>
    </w:p>
    <w:p>
      <w:pPr>
        <w:spacing w:after="100"/>
        <w:pBdr>
          <w:bottom w:val="single" w:sz="6" w:space="1" w:color="CBD5E1"/>
        </w:pBdr>
      </w:pPr>
      <w:r>
        <w:t xml:space="preserve"> </w:t>
      </w:r>
    </w:p>
    <w:p>
      <w:pPr>
        <w:spacing w:after="100"/>
        <w:pBdr>
          <w:bottom w:val="single" w:sz="6" w:space="1" w:color="CBD5E1"/>
        </w:pBdr>
      </w:pPr>
      <w:r>
        <w:t xml:space="preserve"> </w:t>
      </w:r>
    </w:p>
    <w:p>
      <w:pPr>
        <w:spacing w:after="100"/>
        <w:pBdr>
          <w:bottom w:val="single" w:sz="6" w:space="1" w:color="CBD5E1"/>
        </w:pBdr>
      </w:pPr>
      <w:r>
        <w:t xml:space="preserve"> </w:t>
      </w:r>
    </w:p>
    <w:p>
      <w:r>
        <w:br w:type="page"/>
      </w:r>
    </w:p>
    <w:p>
      <w:pPr>
        <w:spacing w:after="80"/>
      </w:pPr>
      <w:r>
        <w:rPr>
          <w:rFonts w:ascii="Calibri" w:hAnsi="Calibri"/>
          <w:b/>
          <w:color w:val="2563EB"/>
          <w:sz w:val="18"/>
        </w:rPr>
        <w:t>PRACTICAL REVIEW</w:t>
      </w:r>
    </w:p>
    <w:p>
      <w:pPr>
        <w:pStyle w:val="Heading1"/>
      </w:pPr>
      <w:r>
        <w:t>Practical issues</w:t>
      </w:r>
    </w:p>
    <w:p>
      <w:pPr>
        <w:keepNext w:val="0"/>
        <w:spacing w:after="100"/>
      </w:pPr>
      <w:r>
        <w:rPr>
          <w:rFonts w:ascii="Calibri" w:hAnsi="Calibri"/>
          <w:b w:val="0"/>
          <w:color w:val="0F172A"/>
          <w:sz w:val="21"/>
        </w:rPr>
        <w:t>Consider equipment, software, rooming, staffing, setup time, training, prompting, technical difficulties and consistency across subjects.</w:t>
      </w:r>
    </w:p>
    <w:p>
      <w:pPr>
        <w:keepNext/>
        <w:spacing w:before="120" w:after="40"/>
      </w:pPr>
      <w:r>
        <w:rPr>
          <w:rFonts w:ascii="Calibri" w:hAnsi="Calibri"/>
          <w:b/>
          <w:color w:val="0F172A"/>
          <w:sz w:val="20"/>
        </w:rPr>
        <w:t>Practical issues identified</w:t>
      </w:r>
    </w:p>
    <w:p>
      <w:pPr>
        <w:spacing w:after="100"/>
        <w:pBdr>
          <w:bottom w:val="single" w:sz="6" w:space="1" w:color="CBD5E1"/>
        </w:pBdr>
      </w:pPr>
      <w:r>
        <w:t xml:space="preserve"> </w:t>
      </w:r>
    </w:p>
    <w:p>
      <w:pPr>
        <w:spacing w:after="100"/>
        <w:pBdr>
          <w:bottom w:val="single" w:sz="6" w:space="1" w:color="CBD5E1"/>
        </w:pBdr>
      </w:pPr>
      <w:r>
        <w:t xml:space="preserve"> </w:t>
      </w:r>
    </w:p>
    <w:p>
      <w:pPr>
        <w:spacing w:after="100"/>
        <w:pBdr>
          <w:bottom w:val="single" w:sz="6" w:space="1" w:color="CBD5E1"/>
        </w:pBdr>
      </w:pPr>
      <w:r>
        <w:t xml:space="preserve"> </w:t>
      </w:r>
    </w:p>
    <w:p>
      <w:pPr>
        <w:spacing w:after="100"/>
        <w:pBdr>
          <w:bottom w:val="single" w:sz="6" w:space="1" w:color="CBD5E1"/>
        </w:pBdr>
      </w:pPr>
      <w:r>
        <w:t xml:space="preserve"> </w:t>
      </w:r>
    </w:p>
    <w:p>
      <w:pPr>
        <w:keepNext/>
        <w:spacing w:before="120" w:after="40"/>
      </w:pPr>
      <w:r>
        <w:rPr>
          <w:rFonts w:ascii="Calibri" w:hAnsi="Calibri"/>
          <w:b/>
          <w:color w:val="0F172A"/>
          <w:sz w:val="20"/>
        </w:rPr>
        <w:t>Action needed to address practical issues</w:t>
      </w:r>
    </w:p>
    <w:p>
      <w:pPr>
        <w:spacing w:after="100"/>
        <w:pBdr>
          <w:bottom w:val="single" w:sz="6" w:space="1" w:color="CBD5E1"/>
        </w:pBdr>
      </w:pPr>
      <w:r>
        <w:t xml:space="preserve"> </w:t>
      </w:r>
    </w:p>
    <w:p>
      <w:pPr>
        <w:spacing w:after="100"/>
        <w:pBdr>
          <w:bottom w:val="single" w:sz="6" w:space="1" w:color="CBD5E1"/>
        </w:pBdr>
      </w:pPr>
      <w:r>
        <w:t xml:space="preserve"> </w:t>
      </w:r>
    </w:p>
    <w:p>
      <w:pPr>
        <w:spacing w:after="100"/>
        <w:pBdr>
          <w:bottom w:val="single" w:sz="6" w:space="1" w:color="CBD5E1"/>
        </w:pBdr>
      </w:pPr>
      <w:r>
        <w:t xml:space="preserve"> </w:t>
      </w:r>
    </w:p>
    <w:p>
      <w:pPr>
        <w:pStyle w:val="Heading1"/>
      </w:pPr>
      <w:r>
        <w:t>Review outcome</w:t>
      </w:r>
    </w:p>
    <w:p>
      <w:pPr>
        <w:keepNext/>
        <w:spacing w:after="100"/>
      </w:pPr>
      <w:r>
        <w:rPr>
          <w:rFonts w:ascii="Calibri" w:hAnsi="Calibri"/>
          <w:b w:val="0"/>
          <w:color w:val="0F172A"/>
          <w:sz w:val="21"/>
        </w:rPr>
        <w:t>Select one outcome.</w:t>
      </w:r>
    </w:p>
    <w:p>
      <w:pPr>
        <w:spacing w:after="60"/>
        <w:ind w:left="115"/>
      </w:pPr>
      <w:r>
        <w:rPr>
          <w:rFonts w:ascii="Calibri" w:hAnsi="Calibri"/>
          <w:b w:val="0"/>
          <w:color w:val="0F172A"/>
          <w:sz w:val="22"/>
        </w:rPr>
        <w:t xml:space="preserve">☐  </w:t>
      </w:r>
      <w:r>
        <w:rPr>
          <w:rFonts w:ascii="Calibri" w:hAnsi="Calibri"/>
          <w:b w:val="0"/>
          <w:color w:val="0F172A"/>
          <w:sz w:val="20"/>
        </w:rPr>
        <w:t>Continue the arrangement as trialled.</w:t>
      </w:r>
    </w:p>
    <w:p>
      <w:pPr>
        <w:spacing w:after="60"/>
        <w:ind w:left="115"/>
      </w:pPr>
      <w:r>
        <w:rPr>
          <w:rFonts w:ascii="Calibri" w:hAnsi="Calibri"/>
          <w:b w:val="0"/>
          <w:color w:val="0F172A"/>
          <w:sz w:val="22"/>
        </w:rPr>
        <w:t xml:space="preserve">☐  </w:t>
      </w:r>
      <w:r>
        <w:rPr>
          <w:rFonts w:ascii="Calibri" w:hAnsi="Calibri"/>
          <w:b w:val="0"/>
          <w:color w:val="0F172A"/>
          <w:sz w:val="20"/>
        </w:rPr>
        <w:t>Change the arrangement and begin a further trial.</w:t>
      </w:r>
    </w:p>
    <w:p>
      <w:pPr>
        <w:spacing w:after="60"/>
        <w:ind w:left="115"/>
      </w:pPr>
      <w:r>
        <w:rPr>
          <w:rFonts w:ascii="Calibri" w:hAnsi="Calibri"/>
          <w:b w:val="0"/>
          <w:color w:val="0F172A"/>
          <w:sz w:val="22"/>
        </w:rPr>
        <w:t xml:space="preserve">☐  </w:t>
      </w:r>
      <w:r>
        <w:rPr>
          <w:rFonts w:ascii="Calibri" w:hAnsi="Calibri"/>
          <w:b w:val="0"/>
          <w:color w:val="0F172A"/>
          <w:sz w:val="20"/>
        </w:rPr>
        <w:t>Discontinue the arrangement.</w:t>
      </w:r>
    </w:p>
    <w:p>
      <w:pPr>
        <w:spacing w:after="60"/>
        <w:ind w:left="115"/>
      </w:pPr>
      <w:r>
        <w:rPr>
          <w:rFonts w:ascii="Calibri" w:hAnsi="Calibri"/>
          <w:b w:val="0"/>
          <w:color w:val="0F172A"/>
          <w:sz w:val="22"/>
        </w:rPr>
        <w:t xml:space="preserve">☐  </w:t>
      </w:r>
      <w:r>
        <w:rPr>
          <w:rFonts w:ascii="Calibri" w:hAnsi="Calibri"/>
          <w:b w:val="0"/>
          <w:color w:val="0F172A"/>
          <w:sz w:val="20"/>
        </w:rPr>
        <w:t>Gather more evidence before reaching a conclusion.</w:t>
      </w:r>
    </w:p>
    <w:p>
      <w:pPr>
        <w:keepNext/>
        <w:spacing w:before="120" w:after="40"/>
      </w:pPr>
      <w:r>
        <w:rPr>
          <w:rFonts w:ascii="Calibri" w:hAnsi="Calibri"/>
          <w:b/>
          <w:color w:val="0F172A"/>
          <w:sz w:val="20"/>
        </w:rPr>
        <w:t>Reason for the outcome</w:t>
      </w:r>
    </w:p>
    <w:p>
      <w:pPr>
        <w:spacing w:after="100"/>
        <w:pBdr>
          <w:bottom w:val="single" w:sz="6" w:space="1" w:color="CBD5E1"/>
        </w:pBdr>
      </w:pPr>
      <w:r>
        <w:t xml:space="preserve"> </w:t>
      </w:r>
    </w:p>
    <w:p>
      <w:pPr>
        <w:spacing w:after="100"/>
        <w:pBdr>
          <w:bottom w:val="single" w:sz="6" w:space="1" w:color="CBD5E1"/>
        </w:pBdr>
      </w:pPr>
      <w:r>
        <w:t xml:space="preserve"> </w:t>
      </w:r>
    </w:p>
    <w:p>
      <w:pPr>
        <w:spacing w:after="100"/>
        <w:pBdr>
          <w:bottom w:val="single" w:sz="6" w:space="1" w:color="CBD5E1"/>
        </w:pBdr>
      </w:pPr>
      <w:r>
        <w:t xml:space="preserve"> </w:t>
      </w:r>
    </w:p>
    <w:p>
      <w:pPr>
        <w:keepNext/>
        <w:spacing w:before="120" w:after="40"/>
      </w:pPr>
      <w:r>
        <w:rPr>
          <w:rFonts w:ascii="Calibri" w:hAnsi="Calibri"/>
          <w:b/>
          <w:color w:val="0F172A"/>
          <w:sz w:val="20"/>
        </w:rPr>
        <w:t>Changes or next steps</w:t>
      </w:r>
    </w:p>
    <w:p>
      <w:pPr>
        <w:spacing w:after="100"/>
        <w:pBdr>
          <w:bottom w:val="single" w:sz="6" w:space="1" w:color="CBD5E1"/>
        </w:pBdr>
      </w:pPr>
      <w:r>
        <w:t xml:space="preserve"> </w:t>
      </w:r>
    </w:p>
    <w:p>
      <w:pPr>
        <w:spacing w:after="100"/>
        <w:pBdr>
          <w:bottom w:val="single" w:sz="6" w:space="1" w:color="CBD5E1"/>
        </w:pBdr>
      </w:pPr>
      <w:r>
        <w:t xml:space="preserve"> </w:t>
      </w:r>
    </w:p>
    <w:p>
      <w:pPr>
        <w:keepNext/>
        <w:spacing w:before="120" w:after="40"/>
      </w:pPr>
      <w:r>
        <w:rPr>
          <w:rFonts w:ascii="Calibri" w:hAnsi="Calibri"/>
          <w:b/>
          <w:color w:val="0F172A"/>
          <w:sz w:val="20"/>
        </w:rPr>
        <w:t>Next review date, if required</w:t>
      </w:r>
    </w:p>
    <w:p>
      <w:pPr>
        <w:spacing w:after="100"/>
        <w:pBdr>
          <w:bottom w:val="single" w:sz="6" w:space="1" w:color="CBD5E1"/>
        </w:pBdr>
      </w:pPr>
      <w:r>
        <w:t xml:space="preserve"> </w:t>
      </w:r>
    </w:p>
    <w:p>
      <w:r>
        <w:br w:type="page"/>
      </w:r>
    </w:p>
    <w:p>
      <w:pPr>
        <w:spacing w:after="80"/>
      </w:pPr>
      <w:r>
        <w:rPr>
          <w:rFonts w:ascii="Calibri" w:hAnsi="Calibri"/>
          <w:b/>
          <w:color w:val="2563EB"/>
          <w:sz w:val="18"/>
        </w:rPr>
        <w:t>EVIDENCE AND SIGN-OFF</w:t>
      </w:r>
    </w:p>
    <w:p>
      <w:pPr>
        <w:pStyle w:val="Heading1"/>
      </w:pPr>
      <w:r>
        <w:t>Evidence attached</w:t>
      </w:r>
    </w:p>
    <w:p>
      <w:pPr>
        <w:spacing w:after="60"/>
        <w:ind w:left="115"/>
      </w:pPr>
      <w:r>
        <w:rPr>
          <w:rFonts w:ascii="Calibri" w:hAnsi="Calibri"/>
          <w:b w:val="0"/>
          <w:color w:val="0F172A"/>
          <w:sz w:val="22"/>
        </w:rPr>
        <w:t xml:space="preserve">☐  </w:t>
      </w:r>
      <w:r>
        <w:rPr>
          <w:rFonts w:ascii="Calibri" w:hAnsi="Calibri"/>
          <w:b w:val="0"/>
          <w:color w:val="0F172A"/>
          <w:sz w:val="20"/>
        </w:rPr>
        <w:t>Marked classwork</w:t>
      </w:r>
    </w:p>
    <w:p>
      <w:pPr>
        <w:spacing w:after="60"/>
        <w:ind w:left="115"/>
      </w:pPr>
      <w:r>
        <w:rPr>
          <w:rFonts w:ascii="Calibri" w:hAnsi="Calibri"/>
          <w:b w:val="0"/>
          <w:color w:val="0F172A"/>
          <w:sz w:val="22"/>
        </w:rPr>
        <w:t xml:space="preserve">☐  </w:t>
      </w:r>
      <w:r>
        <w:rPr>
          <w:rFonts w:ascii="Calibri" w:hAnsi="Calibri"/>
          <w:b w:val="0"/>
          <w:color w:val="0F172A"/>
          <w:sz w:val="20"/>
        </w:rPr>
        <w:t>Assessment evidence</w:t>
      </w:r>
    </w:p>
    <w:p>
      <w:pPr>
        <w:spacing w:after="60"/>
        <w:ind w:left="115"/>
      </w:pPr>
      <w:r>
        <w:rPr>
          <w:rFonts w:ascii="Calibri" w:hAnsi="Calibri"/>
          <w:b w:val="0"/>
          <w:color w:val="0F172A"/>
          <w:sz w:val="22"/>
        </w:rPr>
        <w:t xml:space="preserve">☐  </w:t>
      </w:r>
      <w:r>
        <w:rPr>
          <w:rFonts w:ascii="Calibri" w:hAnsi="Calibri"/>
          <w:b w:val="0"/>
          <w:color w:val="0F172A"/>
          <w:sz w:val="20"/>
        </w:rPr>
        <w:t>Teacher observation</w:t>
      </w:r>
    </w:p>
    <w:p>
      <w:pPr>
        <w:spacing w:after="60"/>
        <w:ind w:left="115"/>
      </w:pPr>
      <w:r>
        <w:rPr>
          <w:rFonts w:ascii="Calibri" w:hAnsi="Calibri"/>
          <w:b w:val="0"/>
          <w:color w:val="0F172A"/>
          <w:sz w:val="22"/>
        </w:rPr>
        <w:t xml:space="preserve">☐  </w:t>
      </w:r>
      <w:r>
        <w:rPr>
          <w:rFonts w:ascii="Calibri" w:hAnsi="Calibri"/>
          <w:b w:val="0"/>
          <w:color w:val="0F172A"/>
          <w:sz w:val="20"/>
        </w:rPr>
        <w:t>Learner feedback</w:t>
      </w:r>
    </w:p>
    <w:p>
      <w:pPr>
        <w:spacing w:after="60"/>
        <w:ind w:left="115"/>
      </w:pPr>
      <w:r>
        <w:rPr>
          <w:rFonts w:ascii="Calibri" w:hAnsi="Calibri"/>
          <w:b w:val="0"/>
          <w:color w:val="0F172A"/>
          <w:sz w:val="22"/>
        </w:rPr>
        <w:t xml:space="preserve">☐  </w:t>
      </w:r>
      <w:r>
        <w:rPr>
          <w:rFonts w:ascii="Calibri" w:hAnsi="Calibri"/>
          <w:b w:val="0"/>
          <w:color w:val="0F172A"/>
          <w:sz w:val="20"/>
        </w:rPr>
        <w:t>Trial notes from another subject</w:t>
      </w:r>
    </w:p>
    <w:p>
      <w:pPr>
        <w:spacing w:after="60"/>
        <w:ind w:left="115"/>
      </w:pPr>
      <w:r>
        <w:rPr>
          <w:rFonts w:ascii="Calibri" w:hAnsi="Calibri"/>
          <w:b w:val="0"/>
          <w:color w:val="0F172A"/>
          <w:sz w:val="22"/>
        </w:rPr>
        <w:t xml:space="preserve">☐  </w:t>
      </w:r>
      <w:r>
        <w:rPr>
          <w:rFonts w:ascii="Calibri" w:hAnsi="Calibri"/>
          <w:b w:val="0"/>
          <w:color w:val="0F172A"/>
          <w:sz w:val="20"/>
        </w:rPr>
        <w:t>Technical or practical record</w:t>
      </w:r>
    </w:p>
    <w:p>
      <w:pPr>
        <w:spacing w:after="60"/>
        <w:ind w:left="115"/>
      </w:pPr>
      <w:r>
        <w:rPr>
          <w:rFonts w:ascii="Calibri" w:hAnsi="Calibri"/>
          <w:b w:val="0"/>
          <w:color w:val="0F172A"/>
          <w:sz w:val="22"/>
        </w:rPr>
        <w:t xml:space="preserve">☐  </w:t>
      </w:r>
      <w:r>
        <w:rPr>
          <w:rFonts w:ascii="Calibri" w:hAnsi="Calibri"/>
          <w:b w:val="0"/>
          <w:color w:val="0F172A"/>
          <w:sz w:val="20"/>
        </w:rPr>
        <w:t>Other</w:t>
      </w:r>
    </w:p>
    <w:p>
      <w:pPr>
        <w:pStyle w:val="Heading1"/>
      </w:pPr>
      <w:r>
        <w:t>Sign-off</w:t>
      </w:r>
    </w:p>
    <w:tbl>
      <w:tblPr>
        <w:tblStyle w:val="TableGrid"/>
        <w:tblW w:type="dxa" w:w="9400"/>
        <w:tblLayout w:type="fixed"/>
        <w:tblLook w:firstColumn="1" w:firstRow="1" w:lastColumn="0" w:lastRow="0" w:noHBand="0" w:noVBand="1" w:val="04A0"/>
        <w:tblInd w:w="120" w:type="dxa"/>
      </w:tblPr>
      <w:tblGrid>
        <w:gridCol w:w="4700"/>
        <w:gridCol w:w="4700"/>
      </w:tblGrid>
      <w:tr>
        <w:trPr>
          <w:cantSplit/>
        </w:trPr>
        <w:tc>
          <w:tcPr>
            <w:tcW w:type="dxa" w:w="470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220"/>
            </w:pPr>
            <w:r>
              <w:rPr>
                <w:rFonts w:ascii="Calibri" w:hAnsi="Calibri"/>
                <w:b/>
                <w:color w:val="0F172A"/>
                <w:sz w:val="19"/>
              </w:rPr>
              <w:t>Teacher or trial lead:</w:t>
            </w:r>
          </w:p>
        </w:tc>
        <w:tc>
          <w:tcPr>
            <w:tcW w:type="dxa" w:w="470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220"/>
            </w:pPr>
            <w:r>
              <w:rPr>
                <w:rFonts w:ascii="Calibri" w:hAnsi="Calibri"/>
                <w:b/>
                <w:color w:val="0F172A"/>
                <w:sz w:val="19"/>
              </w:rPr>
              <w:t>Signature:</w:t>
            </w:r>
          </w:p>
        </w:tc>
      </w:tr>
      <w:tr>
        <w:trPr>
          <w:cantSplit/>
        </w:trPr>
        <w:tc>
          <w:tcPr>
            <w:tcW w:type="dxa" w:w="470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220"/>
            </w:pPr>
            <w:r>
              <w:rPr>
                <w:rFonts w:ascii="Calibri" w:hAnsi="Calibri"/>
                <w:b/>
                <w:color w:val="0F172A"/>
                <w:sz w:val="19"/>
              </w:rPr>
              <w:t>Date:</w:t>
            </w:r>
          </w:p>
        </w:tc>
        <w:tc>
          <w:tcPr>
            <w:tcW w:type="dxa" w:w="470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220"/>
            </w:pPr>
            <w:r>
              <w:rPr>
                <w:rFonts w:ascii="Calibri" w:hAnsi="Calibri"/>
                <w:b/>
                <w:color w:val="0F172A"/>
                <w:sz w:val="19"/>
              </w:rPr>
              <w:t>ASN lead or coordinator review:</w:t>
            </w:r>
          </w:p>
        </w:tc>
      </w:tr>
      <w:tr>
        <w:trPr>
          <w:cantSplit/>
        </w:trPr>
        <w:tc>
          <w:tcPr>
            <w:tcW w:type="dxa" w:w="470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220"/>
            </w:pPr>
            <w:r>
              <w:rPr>
                <w:rFonts w:ascii="Calibri" w:hAnsi="Calibri"/>
                <w:b/>
                <w:color w:val="0F172A"/>
                <w:sz w:val="19"/>
              </w:rPr>
              <w:t>Review date:</w:t>
            </w:r>
          </w:p>
        </w:tc>
        <w:tc>
          <w:tcPr>
            <w:tcW w:type="dxa" w:w="470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220"/>
            </w:pPr>
            <w:r>
              <w:rPr>
                <w:rFonts w:ascii="Calibri" w:hAnsi="Calibri"/>
                <w:b/>
                <w:color w:val="0F172A"/>
                <w:sz w:val="19"/>
              </w:rPr>
              <w:t>Outcome:</w:t>
            </w:r>
          </w:p>
        </w:tc>
      </w:tr>
    </w:tbl>
    <w:p>
      <w:pPr>
        <w:pStyle w:val="Heading1"/>
      </w:pPr>
      <w:r>
        <w:t>Important reminder</w:t>
      </w:r>
    </w:p>
    <w:p>
      <w:pPr>
        <w:spacing w:after="0"/>
        <w:ind w:left="202" w:right="202"/>
        <w:shd w:fill="F8FAFC"/>
      </w:pPr>
      <w:r>
        <w:rPr>
          <w:rFonts w:ascii="Calibri" w:hAnsi="Calibri"/>
          <w:b/>
          <w:color w:val="1E40AF"/>
          <w:sz w:val="20"/>
        </w:rPr>
        <w:t>Do not establish an arrangement solely because it was available or commonly associated with a diagnosis. Base the decision on current evidence from classroom practice.</w:t>
      </w:r>
    </w:p>
    <w:sectPr w:rsidR="00FC693F" w:rsidRPr="0006063C" w:rsidSect="00034616">
      <w:headerReference w:type="default" r:id="rId9"/>
      <w:footerReference w:type="default" r:id="rId10"/>
      <w:pgSz w:w="11909" w:h="16834"/>
      <w:pgMar w:top="936" w:right="1224" w:bottom="936" w:left="1224" w:header="432" w:footer="432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Calibri" w:hAnsi="Calibri"/>
        <w:b w:val="0"/>
        <w:color w:val="475569"/>
        <w:sz w:val="17"/>
      </w:rPr>
      <w:t>Assessment Arrangement Trial Record  |  Fianais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right"/>
    </w:pPr>
    <w:r>
      <w:rPr>
        <w:rFonts w:ascii="Calibri" w:hAnsi="Calibri"/>
        <w:b/>
        <w:color w:val="475569"/>
        <w:sz w:val="17"/>
      </w:rPr>
      <w:t>FIANAIS  ·  PRACTITIONER TEMPLATE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 w:line="276" w:lineRule="auto"/>
    </w:pPr>
    <w:rPr>
      <w:rFonts w:ascii="Calibri" w:hAnsi="Calibri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260" w:after="120"/>
      <w:outlineLvl w:val="0"/>
    </w:pPr>
    <w:rPr>
      <w:rFonts w:asciiTheme="majorHAnsi" w:eastAsiaTheme="majorEastAsia" w:hAnsiTheme="majorHAnsi" w:cstheme="majorBidi" w:ascii="Calibri" w:hAnsi="Calibri"/>
      <w:b/>
      <w:bCs/>
      <w:color w:val="2563EB"/>
      <w:sz w:val="30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100"/>
      <w:outlineLvl w:val="1"/>
    </w:pPr>
    <w:rPr>
      <w:rFonts w:asciiTheme="majorHAnsi" w:eastAsiaTheme="majorEastAsia" w:hAnsiTheme="majorHAnsi" w:cstheme="majorBidi" w:ascii="Calibri" w:hAnsi="Calibri"/>
      <w:b/>
      <w:bCs/>
      <w:color w:val="2563EB"/>
      <w:sz w:val="25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 w:ascii="Calibri" w:hAnsi="Calibri"/>
      <w:b/>
      <w:bCs/>
      <w:color w:val="0F172A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spacing w:after="40"/>
      <w:ind w:left="360" w:hanging="216"/>
      <w:contextualSpacing/>
    </w:pPr>
    <w:rPr>
      <w:rFonts w:ascii="Calibri" w:hAnsi="Calibri"/>
      <w:sz w:val="20"/>
    </w:r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